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4000" w14:textId="2B9C2120" w:rsidR="00DD338B" w:rsidRDefault="00DD338B">
      <w:pPr>
        <w:adjustRightInd/>
      </w:pPr>
      <w:r>
        <w:rPr>
          <w:rFonts w:hint="eastAsia"/>
        </w:rPr>
        <w:t>総合科目「</w:t>
      </w:r>
      <w:r w:rsidRPr="00DD338B">
        <w:rPr>
          <w:rFonts w:hint="eastAsia"/>
        </w:rPr>
        <w:t>現代における法学および政治学の課題</w:t>
      </w:r>
      <w:r>
        <w:rPr>
          <w:rFonts w:hint="eastAsia"/>
        </w:rPr>
        <w:t>」</w:t>
      </w:r>
    </w:p>
    <w:p w14:paraId="22D2C023" w14:textId="42867109" w:rsidR="00F757DB" w:rsidRDefault="0043171C">
      <w:pPr>
        <w:adjustRightInd/>
        <w:rPr>
          <w:rFonts w:ascii="ＭＳ 明朝" w:cs="Times New Roman"/>
          <w:spacing w:val="22"/>
        </w:rPr>
      </w:pPr>
      <w:r>
        <w:rPr>
          <w:rFonts w:hint="eastAsia"/>
        </w:rPr>
        <w:t>民事裁判ＡＢＣ</w:t>
      </w:r>
      <w:r w:rsidR="00DD338B">
        <w:rPr>
          <w:rFonts w:hint="eastAsia"/>
        </w:rPr>
        <w:t>スペシャル</w:t>
      </w:r>
      <w:r>
        <w:rPr>
          <w:rFonts w:ascii="ＭＳ 明朝" w:hAnsi="ＭＳ 明朝"/>
        </w:rPr>
        <w:tab/>
      </w:r>
      <w:r>
        <w:rPr>
          <w:rFonts w:hint="eastAsia"/>
        </w:rPr>
        <w:t xml:space="preserve">　　　東北大学教授　坂田　宏</w:t>
      </w:r>
    </w:p>
    <w:p w14:paraId="0A21D51C" w14:textId="77777777" w:rsidR="00F757DB" w:rsidRDefault="00F757DB">
      <w:pPr>
        <w:adjustRightInd/>
        <w:rPr>
          <w:rFonts w:ascii="ＭＳ 明朝" w:cs="Times New Roman"/>
          <w:spacing w:val="22"/>
        </w:rPr>
      </w:pPr>
    </w:p>
    <w:p w14:paraId="4EF95735" w14:textId="77777777" w:rsidR="00F757DB" w:rsidRDefault="0043171C">
      <w:pPr>
        <w:adjustRightInd/>
        <w:rPr>
          <w:rFonts w:ascii="ＭＳ 明朝" w:cs="Times New Roman"/>
          <w:spacing w:val="22"/>
        </w:rPr>
      </w:pPr>
      <w:r>
        <w:rPr>
          <w:rFonts w:hint="eastAsia"/>
        </w:rPr>
        <w:t>１．裁判とは？</w:t>
      </w:r>
    </w:p>
    <w:p w14:paraId="4E936365" w14:textId="77777777" w:rsidR="00F757DB" w:rsidRDefault="0043171C">
      <w:pPr>
        <w:adjustRightInd/>
        <w:rPr>
          <w:rFonts w:ascii="ＭＳ 明朝" w:cs="Times New Roman"/>
          <w:spacing w:val="22"/>
        </w:rPr>
      </w:pPr>
      <w:r>
        <w:rPr>
          <w:rFonts w:hint="eastAsia"/>
        </w:rPr>
        <w:t>・憲法（第</w:t>
      </w:r>
      <w:r>
        <w:rPr>
          <w:rFonts w:cs="Times New Roman"/>
        </w:rPr>
        <w:t>6</w:t>
      </w:r>
      <w:r>
        <w:rPr>
          <w:rFonts w:hint="eastAsia"/>
        </w:rPr>
        <w:t>章司法）第</w:t>
      </w:r>
      <w:r>
        <w:rPr>
          <w:rFonts w:cs="Times New Roman"/>
        </w:rPr>
        <w:t>76</w:t>
      </w:r>
      <w:r>
        <w:rPr>
          <w:rFonts w:hint="eastAsia"/>
        </w:rPr>
        <w:t>条第</w:t>
      </w:r>
      <w:r>
        <w:rPr>
          <w:rFonts w:cs="Times New Roman"/>
        </w:rPr>
        <w:t>1</w:t>
      </w:r>
      <w:r>
        <w:rPr>
          <w:rFonts w:hint="eastAsia"/>
        </w:rPr>
        <w:t>項</w:t>
      </w:r>
    </w:p>
    <w:p w14:paraId="2C01CE8E" w14:textId="77777777" w:rsidR="00DD338B" w:rsidRDefault="0043171C">
      <w:pPr>
        <w:adjustRightInd/>
        <w:ind w:left="566" w:hanging="284"/>
      </w:pPr>
      <w:r>
        <w:rPr>
          <w:rFonts w:hint="eastAsia"/>
        </w:rPr>
        <w:t>「すべて司法権は、最高裁判所及び法律の定めるところにより</w:t>
      </w:r>
    </w:p>
    <w:p w14:paraId="0758FD0D" w14:textId="1FAF8804" w:rsidR="00F757DB" w:rsidRDefault="0043171C" w:rsidP="00DD338B">
      <w:pPr>
        <w:adjustRightInd/>
        <w:ind w:leftChars="100" w:left="284" w:firstLineChars="100" w:firstLine="284"/>
        <w:rPr>
          <w:rFonts w:ascii="ＭＳ 明朝" w:cs="Times New Roman"/>
          <w:spacing w:val="22"/>
        </w:rPr>
      </w:pPr>
      <w:r>
        <w:rPr>
          <w:rFonts w:hint="eastAsia"/>
        </w:rPr>
        <w:t>設置する下級裁判所に属する。」</w:t>
      </w:r>
    </w:p>
    <w:p w14:paraId="7BF089A6" w14:textId="77777777" w:rsidR="00F757DB" w:rsidRDefault="0043171C">
      <w:pPr>
        <w:adjustRightInd/>
        <w:rPr>
          <w:rFonts w:ascii="ＭＳ 明朝" w:cs="Times New Roman"/>
          <w:spacing w:val="22"/>
        </w:rPr>
      </w:pPr>
      <w:r>
        <w:rPr>
          <w:rFonts w:hint="eastAsia"/>
        </w:rPr>
        <w:t xml:space="preserve">　※国家の第</w:t>
      </w:r>
      <w:r>
        <w:rPr>
          <w:rFonts w:cs="Times New Roman"/>
        </w:rPr>
        <w:t>3</w:t>
      </w:r>
      <w:r>
        <w:rPr>
          <w:rFonts w:hint="eastAsia"/>
        </w:rPr>
        <w:t>権</w:t>
      </w:r>
    </w:p>
    <w:p w14:paraId="55DDB2C5" w14:textId="77777777" w:rsidR="00F757DB" w:rsidRDefault="00F757DB">
      <w:pPr>
        <w:adjustRightInd/>
        <w:rPr>
          <w:rFonts w:ascii="ＭＳ 明朝" w:cs="Times New Roman"/>
          <w:spacing w:val="22"/>
        </w:rPr>
      </w:pPr>
    </w:p>
    <w:p w14:paraId="35200702" w14:textId="77777777" w:rsidR="00F757DB" w:rsidRDefault="0043171C">
      <w:pPr>
        <w:adjustRightInd/>
        <w:rPr>
          <w:rFonts w:ascii="ＭＳ 明朝" w:cs="Times New Roman"/>
          <w:spacing w:val="22"/>
        </w:rPr>
      </w:pPr>
      <w:r>
        <w:rPr>
          <w:rFonts w:hint="eastAsia"/>
        </w:rPr>
        <w:t>２．「民事」裁判とは？</w:t>
      </w:r>
    </w:p>
    <w:p w14:paraId="28B9B098" w14:textId="77777777" w:rsidR="00F757DB" w:rsidRDefault="0043171C">
      <w:pPr>
        <w:adjustRightInd/>
        <w:rPr>
          <w:rFonts w:ascii="ＭＳ 明朝" w:cs="Times New Roman"/>
          <w:spacing w:val="22"/>
        </w:rPr>
      </w:pPr>
      <w:r>
        <w:rPr>
          <w:rFonts w:hint="eastAsia"/>
        </w:rPr>
        <w:t>・刑事と民事の区別</w:t>
      </w:r>
      <w:r>
        <w:rPr>
          <w:rFonts w:ascii="ＭＳ 明朝" w:hAnsi="ＭＳ 明朝"/>
        </w:rPr>
        <w:tab/>
      </w:r>
      <w:r>
        <w:rPr>
          <w:rFonts w:hint="eastAsia"/>
        </w:rPr>
        <w:t>※司法の代表選手</w:t>
      </w:r>
    </w:p>
    <w:p w14:paraId="76B87B07" w14:textId="77777777" w:rsidR="00F757DB" w:rsidRDefault="0043171C">
      <w:pPr>
        <w:adjustRightInd/>
        <w:rPr>
          <w:rFonts w:ascii="ＭＳ 明朝" w:cs="Times New Roman"/>
          <w:spacing w:val="22"/>
        </w:rPr>
      </w:pPr>
      <w:r>
        <w:rPr>
          <w:rFonts w:hint="eastAsia"/>
        </w:rPr>
        <w:t xml:space="preserve">　</w:t>
      </w:r>
      <w:r>
        <w:rPr>
          <w:rFonts w:cs="Times New Roman"/>
        </w:rPr>
        <w:t xml:space="preserve">ex. </w:t>
      </w:r>
      <w:r>
        <w:rPr>
          <w:rFonts w:hint="eastAsia"/>
        </w:rPr>
        <w:t>呼び方：検察官⇔刑事被告人（被疑者）：原告⇔被告</w:t>
      </w:r>
    </w:p>
    <w:p w14:paraId="1E54A425" w14:textId="77777777" w:rsidR="00F757DB" w:rsidRDefault="0043171C">
      <w:pPr>
        <w:adjustRightInd/>
        <w:rPr>
          <w:rFonts w:ascii="ＭＳ 明朝" w:cs="Times New Roman"/>
          <w:spacing w:val="22"/>
        </w:rPr>
      </w:pPr>
      <w:r>
        <w:rPr>
          <w:rFonts w:hint="eastAsia"/>
        </w:rPr>
        <w:t>・民事裁判と民法・民事訴訟法</w:t>
      </w:r>
    </w:p>
    <w:p w14:paraId="3029E8CC" w14:textId="77777777" w:rsidR="00F757DB" w:rsidRDefault="0043171C">
      <w:pPr>
        <w:adjustRightInd/>
        <w:rPr>
          <w:rFonts w:ascii="ＭＳ 明朝" w:cs="Times New Roman"/>
          <w:spacing w:val="22"/>
        </w:rPr>
      </w:pPr>
      <w:r>
        <w:rPr>
          <w:rFonts w:hint="eastAsia"/>
        </w:rPr>
        <w:t xml:space="preserve">　民事裁判における役割分担</w:t>
      </w:r>
    </w:p>
    <w:p w14:paraId="52D4AD47" w14:textId="77777777" w:rsidR="00F757DB" w:rsidRDefault="0043171C">
      <w:pPr>
        <w:adjustRightInd/>
        <w:rPr>
          <w:rFonts w:ascii="ＭＳ 明朝" w:cs="Times New Roman"/>
          <w:spacing w:val="22"/>
        </w:rPr>
      </w:pPr>
      <w:r>
        <w:rPr>
          <w:rFonts w:hint="eastAsia"/>
        </w:rPr>
        <w:t xml:space="preserve">　　民　　　法…勝敗を分けるルールブック（実体法）</w:t>
      </w:r>
    </w:p>
    <w:p w14:paraId="44086E76" w14:textId="77777777" w:rsidR="00F757DB" w:rsidRDefault="0043171C">
      <w:pPr>
        <w:adjustRightInd/>
        <w:rPr>
          <w:rFonts w:ascii="ＭＳ 明朝" w:cs="Times New Roman"/>
          <w:spacing w:val="22"/>
        </w:rPr>
      </w:pPr>
      <w:r>
        <w:rPr>
          <w:rFonts w:hint="eastAsia"/>
        </w:rPr>
        <w:t xml:space="preserve">　　民事訴訟法…裁判官がどうやって前提事実を解明してゆくか？</w:t>
      </w:r>
    </w:p>
    <w:p w14:paraId="12826D67" w14:textId="77777777" w:rsidR="00F757DB" w:rsidRDefault="00F757DB">
      <w:pPr>
        <w:adjustRightInd/>
        <w:rPr>
          <w:rFonts w:ascii="ＭＳ 明朝" w:cs="Times New Roman"/>
          <w:spacing w:val="22"/>
        </w:rPr>
      </w:pPr>
    </w:p>
    <w:p w14:paraId="5742DE48" w14:textId="525879A1" w:rsidR="00DD338B" w:rsidRDefault="0043171C">
      <w:pPr>
        <w:adjustRightInd/>
      </w:pPr>
      <w:r>
        <w:rPr>
          <w:rFonts w:hint="eastAsia"/>
        </w:rPr>
        <w:t>３．</w:t>
      </w:r>
      <w:r w:rsidR="00DD338B">
        <w:rPr>
          <w:rFonts w:hint="eastAsia"/>
        </w:rPr>
        <w:t>自力救済の禁止</w:t>
      </w:r>
    </w:p>
    <w:p w14:paraId="273EF7A5" w14:textId="6949E2F8" w:rsidR="00DD338B" w:rsidRDefault="00DD338B">
      <w:pPr>
        <w:adjustRightInd/>
      </w:pPr>
      <w:r>
        <w:rPr>
          <w:rFonts w:hint="eastAsia"/>
        </w:rPr>
        <w:t>・Ａ（自転車を盗まれた人）　　　⇒　　　Ｘ（盗んだ犯人）</w:t>
      </w:r>
    </w:p>
    <w:p w14:paraId="52953FF3" w14:textId="174350B3" w:rsidR="00B37C5E" w:rsidRDefault="00B37C5E">
      <w:pPr>
        <w:adjustRightInd/>
      </w:pPr>
      <w:r>
        <w:rPr>
          <w:rFonts w:hint="eastAsia"/>
        </w:rPr>
        <w:t xml:space="preserve">　　　　　　　　　　　　　　　　　　　　　　↓不明↑</w:t>
      </w:r>
    </w:p>
    <w:p w14:paraId="55334AE3" w14:textId="0C7BAFE8" w:rsidR="00B37C5E" w:rsidRDefault="00B37C5E">
      <w:pPr>
        <w:adjustRightInd/>
      </w:pPr>
      <w:r>
        <w:rPr>
          <w:rFonts w:hint="eastAsia"/>
        </w:rPr>
        <w:t xml:space="preserve">　　　　　　　　　　　　　　　　　　　　Ｂ（Ｘから購入）</w:t>
      </w:r>
    </w:p>
    <w:p w14:paraId="62497592" w14:textId="514D5B77" w:rsidR="00B37C5E" w:rsidRDefault="00B37C5E" w:rsidP="00B37C5E">
      <w:pPr>
        <w:adjustRightInd/>
      </w:pPr>
      <w:r>
        <w:rPr>
          <w:rFonts w:hint="eastAsia"/>
        </w:rPr>
        <w:t>【即時取得】民法</w:t>
      </w:r>
      <w:r>
        <w:rPr>
          <w:rFonts w:hint="eastAsia"/>
        </w:rPr>
        <w:t>192</w:t>
      </w:r>
      <w:r>
        <w:rPr>
          <w:rFonts w:hint="eastAsia"/>
        </w:rPr>
        <w:t>条</w:t>
      </w:r>
    </w:p>
    <w:p w14:paraId="001818B3" w14:textId="6E7A9E74" w:rsidR="00B37C5E" w:rsidRPr="00DC211B" w:rsidRDefault="00B37C5E" w:rsidP="00B37C5E">
      <w:pPr>
        <w:adjustRightInd/>
        <w:ind w:left="254" w:hangingChars="100" w:hanging="254"/>
        <w:rPr>
          <w:sz w:val="21"/>
          <w:szCs w:val="21"/>
        </w:rPr>
      </w:pPr>
      <w:r w:rsidRPr="00DC211B">
        <w:rPr>
          <w:rFonts w:hint="eastAsia"/>
          <w:sz w:val="21"/>
          <w:szCs w:val="21"/>
        </w:rPr>
        <w:t>「取引行為によって、平穏に、かつ、公然と動産の占有を始めた者は、善意であり、かつ、過失がないときは、即時にその動産について行使する権利を取得する。」</w:t>
      </w:r>
    </w:p>
    <w:p w14:paraId="497771A8" w14:textId="77777777" w:rsidR="00B37C5E" w:rsidRDefault="00B37C5E" w:rsidP="00B37C5E">
      <w:pPr>
        <w:adjustRightInd/>
      </w:pPr>
      <w:r>
        <w:rPr>
          <w:rFonts w:hint="eastAsia"/>
        </w:rPr>
        <w:t>【強盗罪】刑法</w:t>
      </w:r>
      <w:r>
        <w:rPr>
          <w:rFonts w:hint="eastAsia"/>
        </w:rPr>
        <w:t>236</w:t>
      </w:r>
      <w:r w:rsidRPr="00B37C5E">
        <w:rPr>
          <w:rFonts w:hint="eastAsia"/>
        </w:rPr>
        <w:t>条</w:t>
      </w:r>
    </w:p>
    <w:p w14:paraId="711DCA5D" w14:textId="7E442C1C" w:rsidR="00B37C5E" w:rsidRPr="00DC211B" w:rsidRDefault="00B37C5E" w:rsidP="00B37C5E">
      <w:pPr>
        <w:adjustRightInd/>
        <w:ind w:left="254" w:hangingChars="100" w:hanging="254"/>
        <w:rPr>
          <w:sz w:val="21"/>
          <w:szCs w:val="21"/>
        </w:rPr>
      </w:pPr>
      <w:r w:rsidRPr="00DC211B">
        <w:rPr>
          <w:rFonts w:hint="eastAsia"/>
          <w:sz w:val="21"/>
          <w:szCs w:val="21"/>
        </w:rPr>
        <w:t>「暴行又は脅迫を用いて他人の財物を強取した者は、強盗の罪とし、五年以上の有期懲役に処する。」</w:t>
      </w:r>
    </w:p>
    <w:p w14:paraId="7A80D4DD" w14:textId="5A471CE7" w:rsidR="00DD338B" w:rsidRPr="00B37C5E" w:rsidRDefault="00B37C5E">
      <w:pPr>
        <w:adjustRightInd/>
      </w:pPr>
      <w:r>
        <w:rPr>
          <w:rFonts w:hint="eastAsia"/>
        </w:rPr>
        <w:t>⇒誰のための民事訴訟法か？（裁判官？、それとも？）</w:t>
      </w:r>
    </w:p>
    <w:p w14:paraId="25D1CA22" w14:textId="77777777" w:rsidR="00B37C5E" w:rsidRDefault="00B37C5E">
      <w:pPr>
        <w:adjustRightInd/>
      </w:pPr>
    </w:p>
    <w:p w14:paraId="30ABB54D" w14:textId="45A6A9ED" w:rsidR="00F757DB" w:rsidRDefault="00DD338B">
      <w:pPr>
        <w:adjustRightInd/>
        <w:rPr>
          <w:rFonts w:ascii="ＭＳ 明朝" w:cs="Times New Roman"/>
          <w:spacing w:val="22"/>
        </w:rPr>
      </w:pPr>
      <w:r>
        <w:rPr>
          <w:rFonts w:hint="eastAsia"/>
        </w:rPr>
        <w:lastRenderedPageBreak/>
        <w:t>４．</w:t>
      </w:r>
      <w:r w:rsidR="0043171C">
        <w:rPr>
          <w:rFonts w:hint="eastAsia"/>
        </w:rPr>
        <w:t>法的三段論法</w:t>
      </w:r>
    </w:p>
    <w:p w14:paraId="46571D3E" w14:textId="77777777" w:rsidR="00F757DB" w:rsidRDefault="0043171C">
      <w:pPr>
        <w:adjustRightInd/>
        <w:rPr>
          <w:rFonts w:ascii="ＭＳ 明朝" w:cs="Times New Roman"/>
          <w:spacing w:val="22"/>
        </w:rPr>
      </w:pPr>
      <w:r>
        <w:rPr>
          <w:rFonts w:hint="eastAsia"/>
        </w:rPr>
        <w:t xml:space="preserve">　　　　　　【法律の条文（実体法規範：民法等）】</w:t>
      </w:r>
    </w:p>
    <w:p w14:paraId="1709BE4D" w14:textId="77777777" w:rsidR="00F757DB" w:rsidRDefault="0043171C">
      <w:pPr>
        <w:adjustRightInd/>
        <w:rPr>
          <w:rFonts w:ascii="ＭＳ 明朝" w:cs="Times New Roman"/>
          <w:spacing w:val="22"/>
        </w:rPr>
      </w:pPr>
      <w:r>
        <w:rPr>
          <w:rFonts w:ascii="ＭＳ 明朝" w:hAnsi="ＭＳ 明朝"/>
        </w:rPr>
        <w:tab/>
      </w:r>
      <w:r>
        <w:rPr>
          <w:rFonts w:hint="eastAsia"/>
        </w:rPr>
        <w:t>Ａ（法律要件）　　　→　　　Ｂ（法律効果）</w:t>
      </w:r>
    </w:p>
    <w:p w14:paraId="6BD63D3A" w14:textId="77777777" w:rsidR="00F757DB" w:rsidRDefault="00F757DB">
      <w:pPr>
        <w:adjustRightInd/>
        <w:rPr>
          <w:rFonts w:ascii="ＭＳ 明朝" w:cs="Times New Roman"/>
          <w:spacing w:val="22"/>
        </w:rPr>
      </w:pPr>
    </w:p>
    <w:p w14:paraId="14F7CF30" w14:textId="77777777" w:rsidR="00F757DB" w:rsidRDefault="0043171C">
      <w:pPr>
        <w:adjustRightInd/>
        <w:rPr>
          <w:rFonts w:ascii="ＭＳ 明朝" w:cs="Times New Roman"/>
          <w:spacing w:val="22"/>
        </w:rPr>
      </w:pPr>
      <w:r>
        <w:rPr>
          <w:rFonts w:ascii="ＭＳ 明朝" w:hAnsi="ＭＳ 明朝"/>
        </w:rPr>
        <w:tab/>
      </w:r>
      <w:r>
        <w:rPr>
          <w:rFonts w:hint="eastAsia"/>
        </w:rPr>
        <w:t>ａ（事実）　⊆　Ａ</w:t>
      </w:r>
    </w:p>
    <w:p w14:paraId="01D41452" w14:textId="77777777" w:rsidR="00F757DB" w:rsidRDefault="00F757DB">
      <w:pPr>
        <w:adjustRightInd/>
        <w:rPr>
          <w:rFonts w:ascii="ＭＳ 明朝" w:cs="Times New Roman"/>
          <w:spacing w:val="22"/>
        </w:rPr>
      </w:pPr>
    </w:p>
    <w:p w14:paraId="401C43E3" w14:textId="77777777" w:rsidR="00F757DB" w:rsidRDefault="0043171C">
      <w:pPr>
        <w:adjustRightInd/>
        <w:rPr>
          <w:rFonts w:ascii="ＭＳ 明朝" w:cs="Times New Roman"/>
          <w:spacing w:val="22"/>
        </w:rPr>
      </w:pPr>
      <w:r>
        <w:rPr>
          <w:rFonts w:ascii="ＭＳ 明朝" w:hAnsi="ＭＳ 明朝"/>
        </w:rPr>
        <w:tab/>
      </w:r>
      <w:r>
        <w:rPr>
          <w:rFonts w:hint="eastAsia"/>
        </w:rPr>
        <w:t>ａ　　　　　　　　　→　　　Ｂ</w:t>
      </w:r>
    </w:p>
    <w:p w14:paraId="17653ADB" w14:textId="77777777" w:rsidR="00F757DB" w:rsidRDefault="00F757DB">
      <w:pPr>
        <w:adjustRightInd/>
        <w:rPr>
          <w:rFonts w:ascii="ＭＳ 明朝" w:cs="Times New Roman"/>
          <w:spacing w:val="22"/>
        </w:rPr>
      </w:pPr>
    </w:p>
    <w:p w14:paraId="1BA51153" w14:textId="77777777" w:rsidR="00F757DB" w:rsidRDefault="0043171C">
      <w:pPr>
        <w:adjustRightInd/>
        <w:rPr>
          <w:rFonts w:ascii="ＭＳ 明朝" w:cs="Times New Roman"/>
          <w:spacing w:val="22"/>
        </w:rPr>
      </w:pPr>
      <w:r>
        <w:rPr>
          <w:rFonts w:hint="eastAsia"/>
        </w:rPr>
        <w:t xml:space="preserve">　借金（金銭消費貸借契約）に関する条文：民法</w:t>
      </w:r>
      <w:r>
        <w:rPr>
          <w:rFonts w:cs="Times New Roman"/>
        </w:rPr>
        <w:t>587</w:t>
      </w:r>
      <w:r>
        <w:rPr>
          <w:rFonts w:hint="eastAsia"/>
        </w:rPr>
        <w:t>条</w:t>
      </w:r>
    </w:p>
    <w:p w14:paraId="7229A4EE" w14:textId="57FDC2C5" w:rsidR="00F757DB" w:rsidRDefault="0043171C" w:rsidP="00DC211B">
      <w:pPr>
        <w:adjustRightInd/>
        <w:ind w:left="566" w:hanging="284"/>
        <w:rPr>
          <w:rFonts w:ascii="ＭＳ 明朝" w:cs="Times New Roman"/>
          <w:spacing w:val="22"/>
        </w:rPr>
      </w:pPr>
      <w:r>
        <w:rPr>
          <w:rFonts w:hint="eastAsia"/>
          <w:spacing w:val="-2"/>
          <w:sz w:val="22"/>
          <w:szCs w:val="22"/>
        </w:rPr>
        <w:t>＊「消費貸借は、当事者の一方が種類、品質及び数量の同じ物をもって返還をすることを約して相手方から金銭その他の物を受け取ることによって、その効力を生ずる。」</w:t>
      </w:r>
      <w:r w:rsidR="00DC211B">
        <w:rPr>
          <w:rFonts w:ascii="ＭＳ 明朝" w:cs="Times New Roman" w:hint="eastAsia"/>
          <w:spacing w:val="22"/>
        </w:rPr>
        <w:t xml:space="preserve">　</w:t>
      </w:r>
      <w:r>
        <w:rPr>
          <w:rFonts w:hint="eastAsia"/>
        </w:rPr>
        <w:t>⇒①返還合意</w:t>
      </w:r>
      <w:r>
        <w:rPr>
          <w:rFonts w:ascii="ＭＳ 明朝" w:hAnsi="ＭＳ 明朝"/>
        </w:rPr>
        <w:tab/>
      </w:r>
      <w:r>
        <w:rPr>
          <w:rFonts w:hint="eastAsia"/>
        </w:rPr>
        <w:t>②現金の授受</w:t>
      </w:r>
    </w:p>
    <w:p w14:paraId="42A93393" w14:textId="77777777" w:rsidR="00F757DB" w:rsidRDefault="00F757DB">
      <w:pPr>
        <w:adjustRightInd/>
        <w:rPr>
          <w:rFonts w:ascii="ＭＳ 明朝" w:cs="Times New Roman"/>
          <w:spacing w:val="22"/>
        </w:rPr>
      </w:pPr>
    </w:p>
    <w:p w14:paraId="702C64A4" w14:textId="46D45459" w:rsidR="00F757DB" w:rsidRDefault="00DD338B">
      <w:pPr>
        <w:adjustRightInd/>
        <w:rPr>
          <w:rFonts w:ascii="ＭＳ 明朝" w:cs="Times New Roman"/>
          <w:spacing w:val="22"/>
        </w:rPr>
      </w:pPr>
      <w:r>
        <w:rPr>
          <w:rFonts w:hint="eastAsia"/>
        </w:rPr>
        <w:t>５</w:t>
      </w:r>
      <w:r w:rsidR="0043171C">
        <w:rPr>
          <w:rFonts w:hint="eastAsia"/>
        </w:rPr>
        <w:t>．実務の急所</w:t>
      </w:r>
    </w:p>
    <w:p w14:paraId="721DEA66" w14:textId="77777777" w:rsidR="00F757DB" w:rsidRDefault="0043171C">
      <w:pPr>
        <w:adjustRightInd/>
        <w:rPr>
          <w:rFonts w:ascii="ＭＳ 明朝" w:cs="Times New Roman"/>
          <w:spacing w:val="22"/>
        </w:rPr>
      </w:pPr>
      <w:r>
        <w:rPr>
          <w:rFonts w:hint="eastAsia"/>
        </w:rPr>
        <w:t>・裁判所は、お医者さんにたとえることができる。</w:t>
      </w:r>
    </w:p>
    <w:p w14:paraId="00B650F5" w14:textId="77777777" w:rsidR="00F757DB" w:rsidRDefault="0043171C">
      <w:pPr>
        <w:adjustRightInd/>
        <w:rPr>
          <w:rFonts w:ascii="ＭＳ 明朝" w:cs="Times New Roman"/>
          <w:spacing w:val="22"/>
        </w:rPr>
      </w:pPr>
      <w:r>
        <w:rPr>
          <w:rFonts w:hint="eastAsia"/>
        </w:rPr>
        <w:t xml:space="preserve">　原告の言い分（主張）と被告に言い分（主張）とを照らし合わせ、</w:t>
      </w:r>
    </w:p>
    <w:p w14:paraId="6D4C6AE4" w14:textId="77777777" w:rsidR="00F757DB" w:rsidRDefault="0043171C">
      <w:pPr>
        <w:adjustRightInd/>
        <w:rPr>
          <w:rFonts w:ascii="ＭＳ 明朝" w:cs="Times New Roman"/>
          <w:spacing w:val="22"/>
        </w:rPr>
      </w:pPr>
      <w:r>
        <w:rPr>
          <w:rFonts w:hint="eastAsia"/>
        </w:rPr>
        <w:t xml:space="preserve">　争いになっている事実につき、両当事者の提出した証拠によって</w:t>
      </w:r>
    </w:p>
    <w:p w14:paraId="27ADAD42" w14:textId="77777777" w:rsidR="00F757DB" w:rsidRDefault="0043171C">
      <w:pPr>
        <w:adjustRightInd/>
        <w:rPr>
          <w:rFonts w:ascii="ＭＳ 明朝" w:cs="Times New Roman"/>
          <w:spacing w:val="22"/>
        </w:rPr>
      </w:pPr>
      <w:r>
        <w:rPr>
          <w:rFonts w:hint="eastAsia"/>
        </w:rPr>
        <w:t xml:space="preserve">　事実認定をし、法律判断をする。</w:t>
      </w:r>
    </w:p>
    <w:p w14:paraId="4CDC88BB" w14:textId="77777777" w:rsidR="00F757DB" w:rsidRDefault="00F757DB">
      <w:pPr>
        <w:adjustRightInd/>
        <w:rPr>
          <w:rFonts w:ascii="ＭＳ 明朝" w:cs="Times New Roman"/>
          <w:spacing w:val="22"/>
        </w:rPr>
      </w:pPr>
    </w:p>
    <w:p w14:paraId="437639E9" w14:textId="207E945A" w:rsidR="00F757DB" w:rsidRDefault="00DD338B">
      <w:pPr>
        <w:adjustRightInd/>
        <w:rPr>
          <w:rFonts w:ascii="ＭＳ 明朝" w:cs="Times New Roman"/>
          <w:spacing w:val="22"/>
        </w:rPr>
      </w:pPr>
      <w:r>
        <w:rPr>
          <w:rFonts w:hint="eastAsia"/>
        </w:rPr>
        <w:t>６</w:t>
      </w:r>
      <w:r w:rsidR="0043171C">
        <w:rPr>
          <w:rFonts w:hint="eastAsia"/>
        </w:rPr>
        <w:t>．</w:t>
      </w:r>
      <w:r w:rsidR="0043171C">
        <w:rPr>
          <w:rFonts w:cs="Times New Roman"/>
        </w:rPr>
        <w:t xml:space="preserve">Legal Mind </w:t>
      </w:r>
      <w:r w:rsidR="0043171C">
        <w:rPr>
          <w:rFonts w:hint="eastAsia"/>
        </w:rPr>
        <w:t>とは？</w:t>
      </w:r>
    </w:p>
    <w:p w14:paraId="5A878F90" w14:textId="77777777" w:rsidR="00F757DB" w:rsidRDefault="0043171C">
      <w:pPr>
        <w:adjustRightInd/>
        <w:rPr>
          <w:rFonts w:ascii="ＭＳ 明朝" w:cs="Times New Roman"/>
          <w:spacing w:val="22"/>
        </w:rPr>
      </w:pPr>
      <w:r>
        <w:rPr>
          <w:rFonts w:hint="eastAsia"/>
        </w:rPr>
        <w:t xml:space="preserve">　「何事もルールによって解決したがる。」</w:t>
      </w:r>
    </w:p>
    <w:p w14:paraId="1D9B5CF5" w14:textId="77777777" w:rsidR="00F757DB" w:rsidRDefault="0043171C">
      <w:pPr>
        <w:adjustRightInd/>
        <w:rPr>
          <w:rFonts w:ascii="ＭＳ 明朝" w:cs="Times New Roman"/>
          <w:spacing w:val="22"/>
        </w:rPr>
      </w:pPr>
      <w:r>
        <w:rPr>
          <w:rFonts w:hint="eastAsia"/>
        </w:rPr>
        <w:t xml:space="preserve">　　…ルールの適用による平等</w:t>
      </w:r>
    </w:p>
    <w:p w14:paraId="6C49EE14" w14:textId="77777777" w:rsidR="00F757DB" w:rsidRDefault="0043171C">
      <w:pPr>
        <w:adjustRightInd/>
        <w:rPr>
          <w:rFonts w:ascii="ＭＳ 明朝" w:cs="Times New Roman"/>
          <w:spacing w:val="22"/>
        </w:rPr>
      </w:pPr>
      <w:r>
        <w:rPr>
          <w:rFonts w:hint="eastAsia"/>
        </w:rPr>
        <w:t xml:space="preserve">　「やたらと事実関係を知りたがる。」</w:t>
      </w:r>
    </w:p>
    <w:p w14:paraId="6B3F759E" w14:textId="77777777" w:rsidR="00F757DB" w:rsidRDefault="0043171C">
      <w:pPr>
        <w:adjustRightInd/>
        <w:rPr>
          <w:rFonts w:ascii="ＭＳ 明朝" w:cs="Times New Roman"/>
          <w:spacing w:val="22"/>
        </w:rPr>
      </w:pPr>
      <w:r>
        <w:rPr>
          <w:rFonts w:hint="eastAsia"/>
        </w:rPr>
        <w:t xml:space="preserve">　　…大上段の抽象的議論を避ける傾向</w:t>
      </w:r>
    </w:p>
    <w:p w14:paraId="7C900E14" w14:textId="77777777" w:rsidR="00F757DB" w:rsidRDefault="0043171C">
      <w:pPr>
        <w:adjustRightInd/>
        <w:rPr>
          <w:rFonts w:ascii="ＭＳ 明朝" w:cs="Times New Roman"/>
          <w:spacing w:val="22"/>
        </w:rPr>
      </w:pPr>
      <w:r>
        <w:rPr>
          <w:rFonts w:hint="eastAsia"/>
        </w:rPr>
        <w:t xml:space="preserve">　「言葉の違いにうるさい。」</w:t>
      </w:r>
    </w:p>
    <w:p w14:paraId="3D7913D2" w14:textId="77777777" w:rsidR="00F757DB" w:rsidRDefault="0043171C">
      <w:pPr>
        <w:adjustRightInd/>
        <w:rPr>
          <w:rFonts w:ascii="ＭＳ 明朝" w:cs="Times New Roman"/>
          <w:spacing w:val="22"/>
        </w:rPr>
      </w:pPr>
      <w:r>
        <w:rPr>
          <w:rFonts w:hint="eastAsia"/>
        </w:rPr>
        <w:t xml:space="preserve">　　…概念定義により対象範囲を細かく特定する！</w:t>
      </w:r>
    </w:p>
    <w:p w14:paraId="68FA312F" w14:textId="77777777" w:rsidR="00F757DB" w:rsidRDefault="00F757DB">
      <w:pPr>
        <w:adjustRightInd/>
        <w:rPr>
          <w:rFonts w:ascii="ＭＳ 明朝" w:cs="Times New Roman"/>
          <w:spacing w:val="22"/>
        </w:rPr>
      </w:pPr>
    </w:p>
    <w:p w14:paraId="613DC65E" w14:textId="77777777" w:rsidR="00F757DB" w:rsidRDefault="0043171C">
      <w:pPr>
        <w:adjustRightInd/>
        <w:rPr>
          <w:rFonts w:ascii="ＭＳ 明朝" w:cs="Times New Roman"/>
          <w:spacing w:val="22"/>
        </w:rPr>
      </w:pPr>
      <w:r>
        <w:rPr>
          <w:rFonts w:hint="eastAsia"/>
        </w:rPr>
        <w:t>６．おわりに</w:t>
      </w:r>
    </w:p>
    <w:p w14:paraId="19EFEC60" w14:textId="77777777" w:rsidR="00F757DB" w:rsidRDefault="0043171C">
      <w:pPr>
        <w:adjustRightInd/>
        <w:rPr>
          <w:rFonts w:ascii="ＭＳ 明朝" w:cs="Times New Roman"/>
          <w:spacing w:val="22"/>
        </w:rPr>
      </w:pPr>
      <w:r>
        <w:rPr>
          <w:rFonts w:hint="eastAsia"/>
        </w:rPr>
        <w:t xml:space="preserve">　法学はウザイか？？？</w:t>
      </w:r>
      <w:r>
        <w:rPr>
          <w:rFonts w:ascii="ＭＳ 明朝" w:hAnsi="ＭＳ 明朝"/>
        </w:rPr>
        <w:tab/>
      </w:r>
      <w:r>
        <w:rPr>
          <w:rFonts w:cs="Times New Roman"/>
        </w:rPr>
        <w:t>No</w:t>
      </w:r>
      <w:r>
        <w:rPr>
          <w:rFonts w:hint="eastAsia"/>
        </w:rPr>
        <w:t>！</w:t>
      </w:r>
    </w:p>
    <w:p w14:paraId="244BEBC1" w14:textId="77777777" w:rsidR="00F757DB" w:rsidRDefault="0043171C">
      <w:pPr>
        <w:adjustRightInd/>
        <w:rPr>
          <w:rFonts w:ascii="ＭＳ 明朝" w:cs="Times New Roman"/>
          <w:spacing w:val="22"/>
        </w:rPr>
      </w:pPr>
      <w:r>
        <w:rPr>
          <w:rFonts w:hint="eastAsia"/>
        </w:rPr>
        <w:t xml:space="preserve">　※</w:t>
      </w:r>
      <w:r>
        <w:rPr>
          <w:rFonts w:cs="Times New Roman"/>
        </w:rPr>
        <w:t>Professor</w:t>
      </w:r>
      <w:r>
        <w:rPr>
          <w:rFonts w:hint="eastAsia"/>
        </w:rPr>
        <w:t>（</w:t>
      </w:r>
      <w:r>
        <w:rPr>
          <w:rFonts w:cs="Times New Roman"/>
        </w:rPr>
        <w:t>Profession</w:t>
      </w:r>
      <w:r>
        <w:rPr>
          <w:rFonts w:hint="eastAsia"/>
        </w:rPr>
        <w:t>）の言葉の由来</w:t>
      </w:r>
    </w:p>
    <w:sectPr w:rsidR="00F757DB" w:rsidSect="00B37C5E">
      <w:footerReference w:type="default" r:id="rId6"/>
      <w:type w:val="continuous"/>
      <w:pgSz w:w="11906" w:h="16838"/>
      <w:pgMar w:top="1700" w:right="1700" w:bottom="1700" w:left="1700" w:header="720" w:footer="720" w:gutter="0"/>
      <w:pgNumType w:start="1"/>
      <w:cols w:space="720"/>
      <w:noEndnote/>
      <w:docGrid w:type="linesAndChars" w:linePitch="447" w:charSpace="8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02778" w14:textId="77777777" w:rsidR="00F757DB" w:rsidRDefault="0043171C">
      <w:r>
        <w:separator/>
      </w:r>
    </w:p>
  </w:endnote>
  <w:endnote w:type="continuationSeparator" w:id="0">
    <w:p w14:paraId="73CAB661" w14:textId="77777777" w:rsidR="00F757DB" w:rsidRDefault="0043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B45A" w14:textId="77777777" w:rsidR="00F757DB" w:rsidRDefault="0043171C">
    <w:pPr>
      <w:framePr w:wrap="auto" w:vAnchor="text" w:hAnchor="margin" w:xAlign="center" w:y="1"/>
      <w:adjustRightInd/>
      <w:jc w:val="center"/>
      <w:rPr>
        <w:rFonts w:ascii="ＭＳ 明朝" w:cs="Times New Roman"/>
        <w:spacing w:val="2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D607A" w14:textId="77777777" w:rsidR="00F757DB" w:rsidRDefault="0043171C">
      <w:r>
        <w:rPr>
          <w:rFonts w:ascii="ＭＳ 明朝" w:cs="Times New Roman"/>
          <w:color w:val="auto"/>
          <w:sz w:val="2"/>
          <w:szCs w:val="2"/>
        </w:rPr>
        <w:continuationSeparator/>
      </w:r>
    </w:p>
  </w:footnote>
  <w:footnote w:type="continuationSeparator" w:id="0">
    <w:p w14:paraId="731A7243" w14:textId="77777777" w:rsidR="00F757DB" w:rsidRDefault="00431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dirty"/>
  <w:defaultTabStop w:val="1134"/>
  <w:hyphenationZone w:val="0"/>
  <w:drawingGridHorizontalSpacing w:val="142"/>
  <w:drawingGridVerticalSpacing w:val="44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1C"/>
    <w:rsid w:val="0043171C"/>
    <w:rsid w:val="00B37C5E"/>
    <w:rsid w:val="00DC211B"/>
    <w:rsid w:val="00DD338B"/>
    <w:rsid w:val="00F24B71"/>
    <w:rsid w:val="00F7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7CECA4"/>
  <w14:defaultImageDpi w14:val="0"/>
  <w15:docId w15:val="{343B7C9C-8253-4F4D-97A6-4B3FBBB7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204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dc:creator>
  <cp:keywords/>
  <dc:description/>
  <cp:lastModifiedBy>宏 坂田</cp:lastModifiedBy>
  <cp:revision>2</cp:revision>
  <dcterms:created xsi:type="dcterms:W3CDTF">2020-07-04T07:11:00Z</dcterms:created>
  <dcterms:modified xsi:type="dcterms:W3CDTF">2020-07-04T07:11:00Z</dcterms:modified>
</cp:coreProperties>
</file>